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534" w:rsidRPr="000D48D2" w:rsidRDefault="00AF7534" w:rsidP="00AF7534">
      <w:r w:rsidRPr="000D48D2">
        <w:t>Centar za kulturu Vela Luka</w:t>
      </w:r>
    </w:p>
    <w:p w:rsidR="00AF7534" w:rsidRPr="000D48D2" w:rsidRDefault="00AF7534" w:rsidP="00AF7534">
      <w:r w:rsidRPr="000D48D2">
        <w:t>OIB 51876693841</w:t>
      </w:r>
    </w:p>
    <w:p w:rsidR="00AF7534" w:rsidRPr="000D48D2" w:rsidRDefault="00AF7534" w:rsidP="00AF7534">
      <w:pPr>
        <w:jc w:val="right"/>
      </w:pPr>
      <w:r w:rsidRPr="000D48D2">
        <w:t>OPĆINA VELA LUKA</w:t>
      </w:r>
    </w:p>
    <w:p w:rsidR="00AF7534" w:rsidRPr="000D48D2" w:rsidRDefault="00AF7534" w:rsidP="00AF7534">
      <w:pPr>
        <w:jc w:val="right"/>
      </w:pPr>
      <w:r w:rsidRPr="000D48D2">
        <w:t>OBALA 3 BR.19</w:t>
      </w:r>
    </w:p>
    <w:p w:rsidR="00AF7534" w:rsidRPr="000D48D2" w:rsidRDefault="00AF7534" w:rsidP="00AF7534">
      <w:pPr>
        <w:jc w:val="right"/>
      </w:pPr>
      <w:r w:rsidRPr="000D48D2">
        <w:t>OIB: 00935002462</w:t>
      </w:r>
    </w:p>
    <w:p w:rsidR="00AF7534" w:rsidRPr="000D48D2" w:rsidRDefault="00AF7534" w:rsidP="00AF7534">
      <w:pPr>
        <w:jc w:val="right"/>
      </w:pPr>
    </w:p>
    <w:p w:rsidR="00AF7534" w:rsidRPr="000D48D2" w:rsidRDefault="00AF7534" w:rsidP="00AF7534">
      <w:pPr>
        <w:jc w:val="right"/>
      </w:pPr>
    </w:p>
    <w:p w:rsidR="00AF7534" w:rsidRPr="000D48D2" w:rsidRDefault="00AF7534" w:rsidP="00AF7534">
      <w:pPr>
        <w:jc w:val="center"/>
      </w:pPr>
      <w:r w:rsidRPr="000D48D2">
        <w:t>GODIŠNJI IZVJEŠTAJ O IZVRŠENJU FINANCIJSKOG PLANA</w:t>
      </w:r>
    </w:p>
    <w:p w:rsidR="00AF7534" w:rsidRPr="000D48D2" w:rsidRDefault="005032ED" w:rsidP="00AF7534">
      <w:pPr>
        <w:jc w:val="center"/>
      </w:pPr>
      <w:r>
        <w:t>(01-12</w:t>
      </w:r>
      <w:r w:rsidR="00AF7534" w:rsidRPr="000D48D2">
        <w:t>/2023)</w:t>
      </w:r>
    </w:p>
    <w:p w:rsidR="00AF7534" w:rsidRPr="000D48D2" w:rsidRDefault="00AF7534" w:rsidP="00AF7534"/>
    <w:p w:rsidR="00AF7534" w:rsidRPr="000D48D2" w:rsidRDefault="00AF7534" w:rsidP="00AF7534">
      <w:r w:rsidRPr="000D48D2">
        <w:t>Sukladno Pravilniku o polugodišnjem i godišnjem izvršenju proračuna i financijskog plana (NN 85/2023) prilažem:</w:t>
      </w:r>
    </w:p>
    <w:p w:rsidR="00AF7534" w:rsidRPr="000D48D2" w:rsidRDefault="00AF7534" w:rsidP="00AF7534"/>
    <w:p w:rsidR="00DC7D23" w:rsidRPr="000D48D2" w:rsidRDefault="005032ED" w:rsidP="00DC7D23">
      <w:pPr>
        <w:pStyle w:val="Odlomakpopisa"/>
        <w:numPr>
          <w:ilvl w:val="0"/>
          <w:numId w:val="4"/>
        </w:numPr>
      </w:pPr>
      <w:r>
        <w:t xml:space="preserve">OPĆI DIO </w:t>
      </w:r>
      <w:r w:rsidR="00DC7D23" w:rsidRPr="000D48D2">
        <w:t>GODIŠNJEG IZVJEŠTAJA: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Sažetak računa prihoda i rashoda i Računa financiranja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Izvještaj o prihodima i rashodima prema ekonomskoj klasifikaciji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Izvještaj o prihodima i rashodima prema izvorima financiranja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Izvještaj o rashodima prema funkcijskoj klasifikaciji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Izvještaj računa financiranja prema ekonomskoj klasifikaciji</w:t>
      </w:r>
    </w:p>
    <w:p w:rsidR="00DC7D23" w:rsidRPr="000D48D2" w:rsidRDefault="00DC7D23" w:rsidP="00DC7D23">
      <w:pPr>
        <w:pStyle w:val="Odlomakpopisa"/>
        <w:numPr>
          <w:ilvl w:val="0"/>
          <w:numId w:val="2"/>
        </w:numPr>
      </w:pPr>
      <w:r w:rsidRPr="000D48D2">
        <w:t>Izvještaj računa financiranja prema izvorima financiranja</w:t>
      </w:r>
    </w:p>
    <w:p w:rsidR="00DC7D23" w:rsidRPr="000D48D2" w:rsidRDefault="00DC7D23" w:rsidP="00DC7D23"/>
    <w:p w:rsidR="00AF7534" w:rsidRPr="000D48D2" w:rsidRDefault="00AF7534" w:rsidP="00AF7534"/>
    <w:p w:rsidR="00AF7534" w:rsidRPr="000D48D2" w:rsidRDefault="00632CDC" w:rsidP="00AF7534">
      <w:pPr>
        <w:pStyle w:val="Odlomakpopisa"/>
        <w:numPr>
          <w:ilvl w:val="0"/>
          <w:numId w:val="1"/>
        </w:numPr>
      </w:pPr>
      <w:r>
        <w:t xml:space="preserve">POSEBNI DIO </w:t>
      </w:r>
      <w:r w:rsidR="00AF7534" w:rsidRPr="000D48D2">
        <w:t>GODIŠNJEG IZVJEŠTAJA:</w:t>
      </w:r>
    </w:p>
    <w:p w:rsidR="00AF7534" w:rsidRPr="000D48D2" w:rsidRDefault="00AF7534" w:rsidP="00AF7534">
      <w:pPr>
        <w:pStyle w:val="Odlomakpopisa"/>
        <w:numPr>
          <w:ilvl w:val="0"/>
          <w:numId w:val="2"/>
        </w:numPr>
      </w:pPr>
      <w:r w:rsidRPr="000D48D2">
        <w:t>Izvršenje financijskog plana po programskog klasifikaciji</w:t>
      </w:r>
    </w:p>
    <w:p w:rsidR="00AF7534" w:rsidRPr="000D48D2" w:rsidRDefault="00AF7534" w:rsidP="00AF7534">
      <w:pPr>
        <w:pStyle w:val="Odlomakpopisa"/>
        <w:ind w:left="1080"/>
      </w:pPr>
    </w:p>
    <w:p w:rsidR="00AF7534" w:rsidRPr="000D48D2" w:rsidRDefault="00AF7534" w:rsidP="00AF7534">
      <w:pPr>
        <w:pStyle w:val="Odlomakpopisa"/>
        <w:numPr>
          <w:ilvl w:val="0"/>
          <w:numId w:val="1"/>
        </w:numPr>
      </w:pPr>
      <w:r w:rsidRPr="000D48D2">
        <w:t>OBRAZLOŽENJE:</w:t>
      </w:r>
    </w:p>
    <w:p w:rsidR="00AF7534" w:rsidRPr="000D48D2" w:rsidRDefault="00AF7534" w:rsidP="00AF7534">
      <w:pPr>
        <w:pStyle w:val="Odlomakpopisa"/>
        <w:numPr>
          <w:ilvl w:val="0"/>
          <w:numId w:val="2"/>
        </w:numPr>
      </w:pPr>
      <w:r w:rsidRPr="000D48D2">
        <w:t>Obrazloženje Općeg dijela</w:t>
      </w:r>
    </w:p>
    <w:p w:rsidR="00AF7534" w:rsidRDefault="00AF7534" w:rsidP="005D6ACA">
      <w:pPr>
        <w:pStyle w:val="Odlomakpopisa"/>
        <w:numPr>
          <w:ilvl w:val="0"/>
          <w:numId w:val="2"/>
        </w:numPr>
      </w:pPr>
      <w:r w:rsidRPr="000D48D2">
        <w:t xml:space="preserve">Obrazloženje Posebnog dijela </w:t>
      </w:r>
    </w:p>
    <w:p w:rsidR="00632CDC" w:rsidRPr="000D48D2" w:rsidRDefault="00632CDC" w:rsidP="00632CDC">
      <w:pPr>
        <w:pStyle w:val="Odlomakpopisa"/>
        <w:ind w:left="1080"/>
      </w:pPr>
    </w:p>
    <w:p w:rsidR="00AF7534" w:rsidRPr="000D48D2" w:rsidRDefault="00AF7534" w:rsidP="00AF7534">
      <w:pPr>
        <w:pStyle w:val="Odlomakpopisa"/>
        <w:numPr>
          <w:ilvl w:val="0"/>
          <w:numId w:val="1"/>
        </w:numPr>
        <w:rPr>
          <w:u w:val="single"/>
        </w:rPr>
      </w:pPr>
      <w:r w:rsidRPr="000D48D2">
        <w:rPr>
          <w:u w:val="single"/>
        </w:rPr>
        <w:t>POSEBNI IZVJEŠTAJI</w:t>
      </w:r>
    </w:p>
    <w:p w:rsidR="00AF7534" w:rsidRPr="000D48D2" w:rsidRDefault="00AF7534" w:rsidP="00AF7534">
      <w:pPr>
        <w:pStyle w:val="Odlomakpopisa"/>
        <w:jc w:val="center"/>
        <w:rPr>
          <w:b/>
          <w:u w:val="single"/>
        </w:rPr>
      </w:pPr>
    </w:p>
    <w:p w:rsidR="00AF7534" w:rsidRPr="000D48D2" w:rsidRDefault="00AF7534" w:rsidP="00AF7534">
      <w:r w:rsidRPr="000D48D2">
        <w:t>Sukladno Članku 46. Pravilnika Posebni izvještaji su :</w:t>
      </w:r>
    </w:p>
    <w:p w:rsidR="00AF7534" w:rsidRPr="000D48D2" w:rsidRDefault="00AF7534" w:rsidP="00AF7534">
      <w:pPr>
        <w:rPr>
          <w:b/>
        </w:rPr>
      </w:pPr>
    </w:p>
    <w:p w:rsidR="00AF7534" w:rsidRPr="000D48D2" w:rsidRDefault="00AF7534" w:rsidP="00AF7534">
      <w:pPr>
        <w:pStyle w:val="Odlomakpopisa"/>
        <w:numPr>
          <w:ilvl w:val="0"/>
          <w:numId w:val="3"/>
        </w:numPr>
      </w:pPr>
      <w:r w:rsidRPr="000D48D2">
        <w:t>Izvještaj o zaduživanju na domaćem i stranom tržištu novca i kapital,</w:t>
      </w:r>
    </w:p>
    <w:p w:rsidR="00AF7534" w:rsidRPr="000D48D2" w:rsidRDefault="00AF7534" w:rsidP="00AF7534">
      <w:pPr>
        <w:pStyle w:val="Odlomakpopisa"/>
        <w:numPr>
          <w:ilvl w:val="0"/>
          <w:numId w:val="3"/>
        </w:numPr>
      </w:pPr>
      <w:r w:rsidRPr="000D48D2">
        <w:t>Izvještaj o korištenju sredstava fondova EU,</w:t>
      </w:r>
    </w:p>
    <w:p w:rsidR="00AF7534" w:rsidRPr="000D48D2" w:rsidRDefault="00AF7534" w:rsidP="00AF7534">
      <w:pPr>
        <w:pStyle w:val="Odlomakpopisa"/>
        <w:numPr>
          <w:ilvl w:val="0"/>
          <w:numId w:val="3"/>
        </w:numPr>
      </w:pPr>
      <w:r w:rsidRPr="000D48D2">
        <w:t xml:space="preserve">Izvještaj o danim zajmovima i potraživanjima po danim zajmovima i </w:t>
      </w:r>
    </w:p>
    <w:p w:rsidR="00AF7534" w:rsidRPr="000D48D2" w:rsidRDefault="00AF7534" w:rsidP="00AF7534">
      <w:pPr>
        <w:pStyle w:val="Odlomakpopisa"/>
        <w:numPr>
          <w:ilvl w:val="0"/>
          <w:numId w:val="3"/>
        </w:numPr>
      </w:pPr>
      <w:r w:rsidRPr="000D48D2">
        <w:t>Izvještaj o stanju potraživanja i dospjelih obveza te o stanju potencijalnih obveza po osnovi sudskih sporova.</w:t>
      </w:r>
    </w:p>
    <w:p w:rsidR="00AF7534" w:rsidRPr="000D48D2" w:rsidRDefault="00AF7534" w:rsidP="00AF7534"/>
    <w:p w:rsidR="00AF7534" w:rsidRPr="000D48D2" w:rsidRDefault="00AF7534" w:rsidP="00AF7534">
      <w:r w:rsidRPr="000D48D2">
        <w:t>Proračunski korisni</w:t>
      </w:r>
      <w:r w:rsidR="00035058" w:rsidRPr="000D48D2">
        <w:t>k Centar za kulturu</w:t>
      </w:r>
      <w:r w:rsidRPr="000D48D2">
        <w:t>, nije se zaduživao, nije koristio sredstva</w:t>
      </w:r>
      <w:r w:rsidR="0002753B">
        <w:t xml:space="preserve"> EU fondova, nije imao zajmove </w:t>
      </w:r>
      <w:r w:rsidRPr="000D48D2">
        <w:t>ni sudske sporove.</w:t>
      </w:r>
    </w:p>
    <w:p w:rsidR="00AF7534" w:rsidRPr="000D48D2" w:rsidRDefault="00AF7534" w:rsidP="00AF7534">
      <w:r w:rsidRPr="000D48D2">
        <w:t xml:space="preserve">Sve ostale dospjele obveze prema dobavljačima </w:t>
      </w:r>
      <w:r w:rsidR="00632CDC">
        <w:t xml:space="preserve">koje su dospjele </w:t>
      </w:r>
      <w:r w:rsidRPr="000D48D2">
        <w:t>na dan 3</w:t>
      </w:r>
      <w:r w:rsidR="00632CDC">
        <w:t>1.12</w:t>
      </w:r>
      <w:r w:rsidRPr="000D48D2">
        <w:t>.2023.g. su uredno podmirene.</w:t>
      </w:r>
      <w:r w:rsidR="00632CDC">
        <w:t xml:space="preserve"> </w:t>
      </w:r>
    </w:p>
    <w:p w:rsidR="00AF7534" w:rsidRPr="000D48D2" w:rsidRDefault="00AF7534" w:rsidP="00AF7534"/>
    <w:p w:rsidR="00AF7534" w:rsidRPr="000D48D2" w:rsidRDefault="00AF7534" w:rsidP="00AF7534">
      <w:pPr>
        <w:jc w:val="center"/>
        <w:rPr>
          <w:b/>
        </w:rPr>
      </w:pPr>
    </w:p>
    <w:p w:rsidR="00AF7534" w:rsidRPr="000D48D2" w:rsidRDefault="00AF7534" w:rsidP="00AF7534">
      <w:pPr>
        <w:jc w:val="center"/>
        <w:rPr>
          <w:b/>
        </w:rPr>
      </w:pPr>
    </w:p>
    <w:p w:rsidR="00AF7534" w:rsidRDefault="00AF7534" w:rsidP="00AF7534">
      <w:pPr>
        <w:jc w:val="center"/>
        <w:rPr>
          <w:b/>
        </w:rPr>
      </w:pPr>
    </w:p>
    <w:p w:rsidR="000D48D2" w:rsidRPr="000D48D2" w:rsidRDefault="000D48D2" w:rsidP="00AF7534">
      <w:pPr>
        <w:jc w:val="center"/>
        <w:rPr>
          <w:b/>
        </w:rPr>
      </w:pPr>
    </w:p>
    <w:p w:rsidR="00AF7534" w:rsidRPr="000D48D2" w:rsidRDefault="00AF7534" w:rsidP="00AF7534">
      <w:pPr>
        <w:jc w:val="center"/>
        <w:rPr>
          <w:b/>
        </w:rPr>
      </w:pPr>
    </w:p>
    <w:p w:rsidR="00AF7534" w:rsidRPr="000D48D2" w:rsidRDefault="00AF7534" w:rsidP="00AF7534">
      <w:r w:rsidRPr="000D48D2">
        <w:lastRenderedPageBreak/>
        <w:t>Sukladno Pravilniku o polugodišnjem i godišnjem izvršenju proračuna i financijskog plana (NN 85/2023) dajem sljedeće</w:t>
      </w:r>
    </w:p>
    <w:p w:rsidR="00AF7534" w:rsidRPr="000D48D2" w:rsidRDefault="00AF7534" w:rsidP="00AF7534">
      <w:pPr>
        <w:jc w:val="center"/>
        <w:rPr>
          <w:b/>
          <w:u w:val="single"/>
        </w:rPr>
      </w:pPr>
    </w:p>
    <w:p w:rsidR="00AF7534" w:rsidRPr="000D48D2" w:rsidRDefault="00AF7534" w:rsidP="00AF7534">
      <w:pPr>
        <w:jc w:val="center"/>
        <w:rPr>
          <w:b/>
          <w:u w:val="single"/>
        </w:rPr>
      </w:pPr>
      <w:r w:rsidRPr="000D48D2">
        <w:rPr>
          <w:b/>
          <w:u w:val="single"/>
        </w:rPr>
        <w:t>OBRAZLOŽENJE:</w:t>
      </w:r>
    </w:p>
    <w:p w:rsidR="00AF7534" w:rsidRPr="000D48D2" w:rsidRDefault="00AF7534" w:rsidP="00AF7534">
      <w:pPr>
        <w:jc w:val="center"/>
        <w:rPr>
          <w:b/>
          <w:u w:val="single"/>
        </w:rPr>
      </w:pPr>
    </w:p>
    <w:p w:rsidR="00AF7534" w:rsidRPr="000D48D2" w:rsidRDefault="00AF7534" w:rsidP="00AF7534">
      <w:pPr>
        <w:jc w:val="center"/>
        <w:rPr>
          <w:b/>
          <w:u w:val="single"/>
        </w:rPr>
      </w:pPr>
      <w:r w:rsidRPr="000D48D2">
        <w:rPr>
          <w:b/>
          <w:u w:val="single"/>
        </w:rPr>
        <w:t>OPĆI DIO</w:t>
      </w:r>
    </w:p>
    <w:p w:rsidR="00AF7534" w:rsidRPr="000D48D2" w:rsidRDefault="00AF7534" w:rsidP="00AF7534">
      <w:pPr>
        <w:jc w:val="center"/>
        <w:rPr>
          <w:b/>
        </w:rPr>
      </w:pPr>
    </w:p>
    <w:p w:rsidR="00632CDC" w:rsidRPr="00DB00B2" w:rsidRDefault="00632CDC" w:rsidP="00632CDC">
      <w:pPr>
        <w:rPr>
          <w:b/>
        </w:rPr>
      </w:pPr>
      <w:r w:rsidRPr="00DB00B2">
        <w:rPr>
          <w:b/>
        </w:rPr>
        <w:t>Sukladno Članku 43. i 44. navedenog pravilnika:</w:t>
      </w:r>
    </w:p>
    <w:p w:rsidR="00632CDC" w:rsidRPr="00B67BEF" w:rsidRDefault="00632CDC" w:rsidP="00632CDC">
      <w:pPr>
        <w:rPr>
          <w:b/>
        </w:rPr>
      </w:pPr>
      <w:r w:rsidRPr="00B67BEF">
        <w:rPr>
          <w:b/>
        </w:rPr>
        <w:t>Obrazloženje ostvarenja prihoda i primitaka, rashoda i izdataka dopunjuje podatke iz računa prihoda i rashoda i Računa financiranja, stanje novčanih sredstava na početku i na kraju proračunske godine te obrazloženje ostvarenog prijenosa sredstava iz prethodnih godina i prijenosa sredstava u sljedeću godinu. a obrazloženje se može dati na opisni, grafički ili kombinirani način:</w:t>
      </w:r>
    </w:p>
    <w:p w:rsidR="00632CDC" w:rsidRPr="000D09A7" w:rsidRDefault="00632CDC" w:rsidP="00632CDC">
      <w:pPr>
        <w:jc w:val="both"/>
        <w:rPr>
          <w:b/>
          <w:u w:val="single"/>
        </w:rPr>
      </w:pPr>
    </w:p>
    <w:p w:rsidR="00632CDC" w:rsidRDefault="00632CDC" w:rsidP="00632CDC">
      <w:pPr>
        <w:rPr>
          <w:b/>
        </w:rPr>
      </w:pPr>
      <w:r>
        <w:rPr>
          <w:b/>
        </w:rPr>
        <w:t xml:space="preserve">           -Obrazloženje ostvarenja prihoda i primitaka, rashoda i izdataka: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1363"/>
        <w:gridCol w:w="7310"/>
      </w:tblGrid>
      <w:tr w:rsidR="00632CDC" w:rsidRPr="00B9340C" w:rsidTr="003A52E9">
        <w:tc>
          <w:tcPr>
            <w:tcW w:w="791" w:type="dxa"/>
            <w:shd w:val="clear" w:color="auto" w:fill="auto"/>
          </w:tcPr>
          <w:p w:rsidR="00632CDC" w:rsidRPr="00B9340C" w:rsidRDefault="00632CDC" w:rsidP="003A52E9">
            <w:pPr>
              <w:rPr>
                <w:b/>
              </w:rPr>
            </w:pPr>
            <w:r w:rsidRPr="00B9340C">
              <w:rPr>
                <w:b/>
              </w:rPr>
              <w:t>RB.</w:t>
            </w:r>
          </w:p>
        </w:tc>
        <w:tc>
          <w:tcPr>
            <w:tcW w:w="1363" w:type="dxa"/>
            <w:shd w:val="clear" w:color="auto" w:fill="auto"/>
          </w:tcPr>
          <w:p w:rsidR="00632CDC" w:rsidRPr="00B9340C" w:rsidRDefault="0002753B" w:rsidP="003A52E9">
            <w:pPr>
              <w:rPr>
                <w:b/>
              </w:rPr>
            </w:pPr>
            <w:r>
              <w:rPr>
                <w:b/>
              </w:rPr>
              <w:t>KONTO</w:t>
            </w:r>
          </w:p>
          <w:p w:rsidR="00632CDC" w:rsidRPr="00B9340C" w:rsidRDefault="00632CDC" w:rsidP="003A52E9">
            <w:pPr>
              <w:rPr>
                <w:b/>
              </w:rPr>
            </w:pPr>
            <w:r w:rsidRPr="00B9340C">
              <w:rPr>
                <w:b/>
              </w:rPr>
              <w:t xml:space="preserve"> </w:t>
            </w:r>
          </w:p>
        </w:tc>
        <w:tc>
          <w:tcPr>
            <w:tcW w:w="7310" w:type="dxa"/>
            <w:shd w:val="clear" w:color="auto" w:fill="auto"/>
          </w:tcPr>
          <w:p w:rsidR="00632CDC" w:rsidRPr="00B9340C" w:rsidRDefault="0002753B" w:rsidP="003A52E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OBRAZLOŽENJE</w:t>
            </w:r>
          </w:p>
        </w:tc>
      </w:tr>
      <w:tr w:rsidR="00632CDC" w:rsidRPr="00B9340C" w:rsidTr="003A52E9">
        <w:tc>
          <w:tcPr>
            <w:tcW w:w="791" w:type="dxa"/>
            <w:shd w:val="clear" w:color="auto" w:fill="auto"/>
          </w:tcPr>
          <w:p w:rsidR="00632CDC" w:rsidRPr="00A304EC" w:rsidRDefault="00632CDC" w:rsidP="003A52E9">
            <w:r>
              <w:t>1.</w:t>
            </w:r>
          </w:p>
        </w:tc>
        <w:tc>
          <w:tcPr>
            <w:tcW w:w="1363" w:type="dxa"/>
            <w:shd w:val="clear" w:color="auto" w:fill="auto"/>
          </w:tcPr>
          <w:p w:rsidR="00632CDC" w:rsidRPr="00A304EC" w:rsidRDefault="00632CDC" w:rsidP="003A52E9">
            <w:r w:rsidRPr="00A304EC">
              <w:t>6331</w:t>
            </w:r>
          </w:p>
        </w:tc>
        <w:tc>
          <w:tcPr>
            <w:tcW w:w="7310" w:type="dxa"/>
            <w:shd w:val="clear" w:color="auto" w:fill="auto"/>
          </w:tcPr>
          <w:p w:rsidR="00632CDC" w:rsidRPr="00A304EC" w:rsidRDefault="00632CDC" w:rsidP="003A52E9">
            <w:r>
              <w:t>Tekuće pomoći proračunu iz drugih proračuna i izvanproračunskim korisnicima u 2022. iznosile su 5.308,91 eura. Po istoj osnovi u 2023.g. ukupno dobivena sredstva iznosila su 1.327,23 eura. Navedena pomoć u 2023.g. odnosi se na pomoći Ministarstva kulture i medija RH za Izložbu fotografija „Oliver privatno“. Sredstva su namjenski utrošena.</w:t>
            </w:r>
          </w:p>
        </w:tc>
      </w:tr>
      <w:tr w:rsidR="00632CDC" w:rsidRPr="00D23940" w:rsidTr="003A52E9">
        <w:tc>
          <w:tcPr>
            <w:tcW w:w="791" w:type="dxa"/>
            <w:shd w:val="clear" w:color="auto" w:fill="auto"/>
          </w:tcPr>
          <w:p w:rsidR="00632CDC" w:rsidRPr="00D23940" w:rsidRDefault="00632CDC" w:rsidP="003A52E9">
            <w:r w:rsidRPr="00D23940">
              <w:t>2.</w:t>
            </w:r>
          </w:p>
        </w:tc>
        <w:tc>
          <w:tcPr>
            <w:tcW w:w="1363" w:type="dxa"/>
            <w:shd w:val="clear" w:color="auto" w:fill="auto"/>
          </w:tcPr>
          <w:p w:rsidR="00632CDC" w:rsidRPr="00D23940" w:rsidRDefault="00632CDC" w:rsidP="003A52E9">
            <w:r>
              <w:t>6332</w:t>
            </w:r>
          </w:p>
        </w:tc>
        <w:tc>
          <w:tcPr>
            <w:tcW w:w="7310" w:type="dxa"/>
            <w:shd w:val="clear" w:color="auto" w:fill="auto"/>
          </w:tcPr>
          <w:p w:rsidR="00632CDC" w:rsidRDefault="00632CDC" w:rsidP="003A52E9">
            <w:r>
              <w:t>Kapitalne pomoći proračunu iz drugih proračuna i izvanproračunskim korisnicima u 2022.g. iznosile su 106.178,25 eura, a u 2023. iznose 135.050,04 eura, što je za 27,2 % više u odnosu na prethodnu godinu.</w:t>
            </w:r>
          </w:p>
          <w:p w:rsidR="00632CDC" w:rsidRDefault="00632CDC" w:rsidP="003A52E9">
            <w:r>
              <w:t>Pomoći su dobivene od Ministarstva kulture i medija, a odnose se na:</w:t>
            </w:r>
          </w:p>
          <w:p w:rsidR="00632CDC" w:rsidRDefault="00632CDC" w:rsidP="003A52E9">
            <w:r>
              <w:t xml:space="preserve">- nabava informatičke opreme za potrebe prezentiranja sadržaja u </w:t>
            </w:r>
            <w:proofErr w:type="spellStart"/>
            <w:r>
              <w:t>Veloj</w:t>
            </w:r>
            <w:proofErr w:type="spellEnd"/>
            <w:r>
              <w:t xml:space="preserve"> </w:t>
            </w:r>
            <w:proofErr w:type="spellStart"/>
            <w:r>
              <w:t>Spili</w:t>
            </w:r>
            <w:proofErr w:type="spellEnd"/>
            <w:r>
              <w:t xml:space="preserve"> (1.327,23 eura)</w:t>
            </w:r>
          </w:p>
          <w:p w:rsidR="00632CDC" w:rsidRDefault="00632CDC" w:rsidP="003A52E9">
            <w:r>
              <w:t xml:space="preserve">- Program zaštite i očuvanja kopnene arheološke baštine Vela Luka- lok. </w:t>
            </w:r>
            <w:proofErr w:type="spellStart"/>
            <w:r>
              <w:t>Kozjača</w:t>
            </w:r>
            <w:proofErr w:type="spellEnd"/>
            <w:r>
              <w:t xml:space="preserve"> (Klačina) (1.000,00 eura)</w:t>
            </w:r>
          </w:p>
          <w:p w:rsidR="00632CDC" w:rsidRDefault="00632CDC" w:rsidP="003A52E9">
            <w:r>
              <w:t>-</w:t>
            </w:r>
            <w:proofErr w:type="spellStart"/>
            <w:r>
              <w:t>IV.faza</w:t>
            </w:r>
            <w:proofErr w:type="spellEnd"/>
            <w:r>
              <w:t xml:space="preserve"> adaptacije zgrade CZK za potrebe Zavičajnog muzeja s muzejskom zbirkom „Oliver Dragojević“ (132.722,81 eura).</w:t>
            </w:r>
          </w:p>
          <w:p w:rsidR="00632CDC" w:rsidRPr="00D23940" w:rsidRDefault="00632CDC" w:rsidP="003A52E9">
            <w:r>
              <w:t>Sva dobivena sredstva utrošena su namjenski.</w:t>
            </w:r>
          </w:p>
        </w:tc>
      </w:tr>
      <w:tr w:rsidR="00632CDC" w:rsidRPr="00D23940" w:rsidTr="003A52E9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CDC" w:rsidRPr="00D23940" w:rsidRDefault="00632CDC" w:rsidP="003A52E9">
            <w:r>
              <w:t>3.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CDC" w:rsidRPr="00D23940" w:rsidRDefault="00632CDC" w:rsidP="003A52E9">
            <w:r>
              <w:t>6526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CDC" w:rsidRDefault="00632CDC" w:rsidP="003A52E9">
            <w:r>
              <w:t xml:space="preserve">Ostali nespomenuti prihodi odnose se na prodaju ulaznica za posjet </w:t>
            </w:r>
            <w:proofErr w:type="spellStart"/>
            <w:r>
              <w:t>Veloj</w:t>
            </w:r>
            <w:proofErr w:type="spellEnd"/>
            <w:r>
              <w:t xml:space="preserve"> </w:t>
            </w:r>
            <w:proofErr w:type="spellStart"/>
            <w:r>
              <w:t>Spili</w:t>
            </w:r>
            <w:proofErr w:type="spellEnd"/>
            <w:r>
              <w:t xml:space="preserve"> i prihode od prodaje karata za kulturna događanja (koncerte) koje organizira CZK.</w:t>
            </w:r>
          </w:p>
          <w:p w:rsidR="00632CDC" w:rsidRPr="00D23940" w:rsidRDefault="00632CDC" w:rsidP="003A52E9">
            <w:r>
              <w:t>U 2022.g. ostvareno je po navedenoj osnovi 29.562,01 eura prihoda, a u 2023.g. ostvareno je 44.932,00 eura ( povećanje za 52 %) radi povećanja broja prodanih ulaznica.</w:t>
            </w:r>
          </w:p>
        </w:tc>
      </w:tr>
      <w:tr w:rsidR="00632CDC" w:rsidRPr="00D23940" w:rsidTr="003A52E9">
        <w:tc>
          <w:tcPr>
            <w:tcW w:w="791" w:type="dxa"/>
            <w:shd w:val="clear" w:color="auto" w:fill="auto"/>
          </w:tcPr>
          <w:p w:rsidR="00632CDC" w:rsidRPr="00D23940" w:rsidRDefault="00632CDC" w:rsidP="003A52E9">
            <w:r>
              <w:t>4.</w:t>
            </w:r>
          </w:p>
        </w:tc>
        <w:tc>
          <w:tcPr>
            <w:tcW w:w="1363" w:type="dxa"/>
            <w:shd w:val="clear" w:color="auto" w:fill="auto"/>
          </w:tcPr>
          <w:p w:rsidR="00632CDC" w:rsidRPr="00D23940" w:rsidRDefault="00632CDC" w:rsidP="003A52E9">
            <w:r>
              <w:t>6711</w:t>
            </w:r>
          </w:p>
        </w:tc>
        <w:tc>
          <w:tcPr>
            <w:tcW w:w="7310" w:type="dxa"/>
            <w:shd w:val="clear" w:color="auto" w:fill="auto"/>
          </w:tcPr>
          <w:p w:rsidR="00632CDC" w:rsidRDefault="00632CDC" w:rsidP="00632CDC">
            <w:r>
              <w:t>Prihodi iz nadležnog proračuna za financiranje rashoda poslovanja veći su za 132 % u 2023.g. (217.746,77 eura), u odnosu na 2022.g. kada su iznosili 93.856,92 eura. Navedena sredstva utrošena su u 2023.g. za financiranje rashoda poslovanja (53.775,34 eura), za uređenje zgrade za memorijalnu zbirku Olivera Dragojevića (112.657,33 eura), za Manifestaciju Trag u beskraju (33.182,79 eura) te za kulturna događanja-koncerte (18.131,31 eura).</w:t>
            </w:r>
          </w:p>
          <w:p w:rsidR="00632CDC" w:rsidRDefault="00632CDC" w:rsidP="00632CDC"/>
          <w:p w:rsidR="00632CDC" w:rsidRPr="001E759E" w:rsidRDefault="00632CDC" w:rsidP="00632CDC"/>
        </w:tc>
      </w:tr>
      <w:tr w:rsidR="00632CDC" w:rsidRPr="00D23940" w:rsidTr="003A52E9">
        <w:tc>
          <w:tcPr>
            <w:tcW w:w="791" w:type="dxa"/>
            <w:shd w:val="clear" w:color="auto" w:fill="auto"/>
          </w:tcPr>
          <w:p w:rsidR="00632CDC" w:rsidRDefault="00632CDC" w:rsidP="003A52E9">
            <w:r>
              <w:t>5.</w:t>
            </w:r>
          </w:p>
        </w:tc>
        <w:tc>
          <w:tcPr>
            <w:tcW w:w="1363" w:type="dxa"/>
            <w:shd w:val="clear" w:color="auto" w:fill="auto"/>
          </w:tcPr>
          <w:p w:rsidR="00632CDC" w:rsidRDefault="00632CDC" w:rsidP="003A52E9">
            <w:r>
              <w:t>3111</w:t>
            </w:r>
          </w:p>
        </w:tc>
        <w:tc>
          <w:tcPr>
            <w:tcW w:w="7310" w:type="dxa"/>
            <w:shd w:val="clear" w:color="auto" w:fill="auto"/>
          </w:tcPr>
          <w:p w:rsidR="00632CDC" w:rsidRDefault="00632CDC" w:rsidP="003A52E9">
            <w:r>
              <w:t xml:space="preserve">Rashodi za plaće za redovan rad u 2022.g. iznosile su 66.332,39 eura, a u 2023.g. iznose 46.882,40 eura. Rashodi su smanjeni zbog odlaska  </w:t>
            </w:r>
            <w:r>
              <w:lastRenderedPageBreak/>
              <w:t>čistačice u mirovinu (od 03.05.2023.g.), a nije raspisan natječaj za zapošljavanje nove.</w:t>
            </w:r>
          </w:p>
        </w:tc>
      </w:tr>
      <w:tr w:rsidR="00632CDC" w:rsidRPr="00D23940" w:rsidTr="003A52E9">
        <w:tc>
          <w:tcPr>
            <w:tcW w:w="791" w:type="dxa"/>
            <w:shd w:val="clear" w:color="auto" w:fill="auto"/>
          </w:tcPr>
          <w:p w:rsidR="00632CDC" w:rsidRDefault="00632CDC" w:rsidP="003A52E9">
            <w:r>
              <w:lastRenderedPageBreak/>
              <w:t>6.</w:t>
            </w:r>
          </w:p>
        </w:tc>
        <w:tc>
          <w:tcPr>
            <w:tcW w:w="1363" w:type="dxa"/>
            <w:shd w:val="clear" w:color="auto" w:fill="auto"/>
          </w:tcPr>
          <w:p w:rsidR="00632CDC" w:rsidRDefault="00632CDC" w:rsidP="003A52E9">
            <w:r>
              <w:t>3121</w:t>
            </w:r>
          </w:p>
        </w:tc>
        <w:tc>
          <w:tcPr>
            <w:tcW w:w="7310" w:type="dxa"/>
            <w:shd w:val="clear" w:color="auto" w:fill="auto"/>
          </w:tcPr>
          <w:p w:rsidR="001B1207" w:rsidRDefault="00632CDC" w:rsidP="003A52E9">
            <w:r>
              <w:t>Ostali rashodi za zaposlene</w:t>
            </w:r>
            <w:r w:rsidR="001B1207">
              <w:t xml:space="preserve"> u 2022.g. iznosili su 3.578,54 eura, a u</w:t>
            </w:r>
            <w:r>
              <w:t xml:space="preserve"> 2023.g.</w:t>
            </w:r>
            <w:r w:rsidR="001B1207">
              <w:t xml:space="preserve"> iznosili su 6.903,47 eura, što je povećanje</w:t>
            </w:r>
            <w:r>
              <w:t xml:space="preserve"> za 92,9 %</w:t>
            </w:r>
            <w:r w:rsidR="001B1207">
              <w:t>.</w:t>
            </w:r>
          </w:p>
          <w:p w:rsidR="00632CDC" w:rsidRPr="00266E3B" w:rsidRDefault="00632CDC" w:rsidP="003A52E9">
            <w:r>
              <w:t xml:space="preserve">U 2023.g. ukupno je utrošeno 6.903,47 eura zbog isplate otpremnine čistačici (bruto iznos 1.843,56 eura) te zbog povećanja </w:t>
            </w:r>
            <w:proofErr w:type="spellStart"/>
            <w:r>
              <w:t>Uskrsnice</w:t>
            </w:r>
            <w:proofErr w:type="spellEnd"/>
            <w:r w:rsidRPr="00266E3B">
              <w:t xml:space="preserve"> (u 2023. iznosila je 60,00 eura, a godinu ranije 53,09 eura), Božićnic</w:t>
            </w:r>
            <w:r>
              <w:t>e (u 2023.</w:t>
            </w:r>
            <w:r w:rsidRPr="00266E3B">
              <w:t xml:space="preserve"> iznosila je 300,00 eura, a godinu ranije 232,26) i Regres</w:t>
            </w:r>
            <w:r>
              <w:t>a</w:t>
            </w:r>
            <w:r w:rsidRPr="00266E3B">
              <w:t xml:space="preserve"> (u 2023. iznosio je 270,00 eura, a godinu ranije 199,08 eura).</w:t>
            </w:r>
          </w:p>
          <w:p w:rsidR="00632CDC" w:rsidRPr="00266E3B" w:rsidRDefault="00632CDC" w:rsidP="003A52E9">
            <w:r w:rsidRPr="00266E3B">
              <w:t>Od 1.9.2023. uvedena je naknada za podmirenje troškova prehrane</w:t>
            </w:r>
          </w:p>
          <w:p w:rsidR="00632CDC" w:rsidRDefault="00632CDC" w:rsidP="003A52E9">
            <w:r w:rsidRPr="00266E3B">
              <w:t>(</w:t>
            </w:r>
            <w:r>
              <w:t>topli obrok) koja</w:t>
            </w:r>
            <w:r w:rsidRPr="00266E3B">
              <w:t xml:space="preserve"> mjesečno iznosi 66,36 eura.</w:t>
            </w:r>
          </w:p>
        </w:tc>
      </w:tr>
      <w:tr w:rsidR="00632CDC" w:rsidRPr="00D23940" w:rsidTr="003A52E9">
        <w:tc>
          <w:tcPr>
            <w:tcW w:w="791" w:type="dxa"/>
            <w:shd w:val="clear" w:color="auto" w:fill="auto"/>
          </w:tcPr>
          <w:p w:rsidR="00632CDC" w:rsidRDefault="00632CDC" w:rsidP="003A52E9">
            <w:r>
              <w:t>7.</w:t>
            </w:r>
          </w:p>
        </w:tc>
        <w:tc>
          <w:tcPr>
            <w:tcW w:w="1363" w:type="dxa"/>
            <w:shd w:val="clear" w:color="auto" w:fill="auto"/>
          </w:tcPr>
          <w:p w:rsidR="00632CDC" w:rsidRDefault="00632CDC" w:rsidP="003A52E9">
            <w:r>
              <w:t>313</w:t>
            </w:r>
            <w:r w:rsidR="001B1207">
              <w:t>2</w:t>
            </w:r>
          </w:p>
        </w:tc>
        <w:tc>
          <w:tcPr>
            <w:tcW w:w="7310" w:type="dxa"/>
            <w:shd w:val="clear" w:color="auto" w:fill="auto"/>
          </w:tcPr>
          <w:p w:rsidR="00632CDC" w:rsidRDefault="00632CDC" w:rsidP="003A52E9">
            <w:r>
              <w:t>Rashodi za doprinos za obvezno zdravstveno osiguranje manji su  za 29,5 % u 2023.g. u odnosu na godinu ranije, odnosno proporcionalno umanjenju rashoda za plaće za redovan rad.</w:t>
            </w:r>
          </w:p>
        </w:tc>
      </w:tr>
      <w:tr w:rsidR="00632CDC" w:rsidRPr="00D23940" w:rsidTr="003A52E9">
        <w:tc>
          <w:tcPr>
            <w:tcW w:w="791" w:type="dxa"/>
            <w:shd w:val="clear" w:color="auto" w:fill="auto"/>
          </w:tcPr>
          <w:p w:rsidR="00632CDC" w:rsidRDefault="00632CDC" w:rsidP="003A52E9">
            <w:r>
              <w:t>8.</w:t>
            </w:r>
          </w:p>
        </w:tc>
        <w:tc>
          <w:tcPr>
            <w:tcW w:w="1363" w:type="dxa"/>
            <w:shd w:val="clear" w:color="auto" w:fill="auto"/>
          </w:tcPr>
          <w:p w:rsidR="00632CDC" w:rsidRDefault="00632CDC" w:rsidP="003A52E9">
            <w:r>
              <w:t>3223</w:t>
            </w:r>
          </w:p>
        </w:tc>
        <w:tc>
          <w:tcPr>
            <w:tcW w:w="7310" w:type="dxa"/>
            <w:shd w:val="clear" w:color="auto" w:fill="auto"/>
          </w:tcPr>
          <w:p w:rsidR="00632CDC" w:rsidRDefault="00632CDC" w:rsidP="003A52E9">
            <w:r>
              <w:t>Rashodi za energiju su manji u 2023.g. u odnosu na 2022.g. zbog radova u zgradi Centra za kulturu, stoga je potrošnja struje manja.</w:t>
            </w:r>
          </w:p>
        </w:tc>
      </w:tr>
      <w:tr w:rsidR="00632CDC" w:rsidRPr="00D23940" w:rsidTr="003A52E9">
        <w:tc>
          <w:tcPr>
            <w:tcW w:w="791" w:type="dxa"/>
            <w:shd w:val="clear" w:color="auto" w:fill="auto"/>
          </w:tcPr>
          <w:p w:rsidR="00632CDC" w:rsidRDefault="00632CDC" w:rsidP="003A52E9">
            <w:r>
              <w:t>9.</w:t>
            </w:r>
          </w:p>
        </w:tc>
        <w:tc>
          <w:tcPr>
            <w:tcW w:w="1363" w:type="dxa"/>
            <w:shd w:val="clear" w:color="auto" w:fill="auto"/>
          </w:tcPr>
          <w:p w:rsidR="00632CDC" w:rsidRDefault="00632CDC" w:rsidP="003A52E9">
            <w:r>
              <w:t>3225</w:t>
            </w:r>
          </w:p>
        </w:tc>
        <w:tc>
          <w:tcPr>
            <w:tcW w:w="7310" w:type="dxa"/>
            <w:shd w:val="clear" w:color="auto" w:fill="auto"/>
          </w:tcPr>
          <w:p w:rsidR="00632CDC" w:rsidRDefault="00632CDC" w:rsidP="001B1207">
            <w:r>
              <w:t xml:space="preserve">Rashodi za sitni inventar u 2022.g. iznosili su 21,10 eura, a u 2023.g. iznose 188,62 eura. </w:t>
            </w:r>
            <w:r w:rsidR="001B1207">
              <w:t>N</w:t>
            </w:r>
            <w:r>
              <w:t>avedeni inventar odnosi se na led žarulje, kabele i led panel.</w:t>
            </w:r>
          </w:p>
        </w:tc>
      </w:tr>
      <w:tr w:rsidR="001B1207" w:rsidRPr="00D23940" w:rsidTr="003A52E9">
        <w:tc>
          <w:tcPr>
            <w:tcW w:w="791" w:type="dxa"/>
            <w:shd w:val="clear" w:color="auto" w:fill="auto"/>
          </w:tcPr>
          <w:p w:rsidR="001B1207" w:rsidRDefault="001B1207" w:rsidP="003A52E9">
            <w:r>
              <w:t>10.</w:t>
            </w:r>
          </w:p>
        </w:tc>
        <w:tc>
          <w:tcPr>
            <w:tcW w:w="1363" w:type="dxa"/>
            <w:shd w:val="clear" w:color="auto" w:fill="auto"/>
          </w:tcPr>
          <w:p w:rsidR="001B1207" w:rsidRDefault="001B1207" w:rsidP="003A52E9">
            <w:r>
              <w:t>3233</w:t>
            </w:r>
          </w:p>
        </w:tc>
        <w:tc>
          <w:tcPr>
            <w:tcW w:w="7310" w:type="dxa"/>
            <w:shd w:val="clear" w:color="auto" w:fill="auto"/>
          </w:tcPr>
          <w:p w:rsidR="001B1207" w:rsidRDefault="001B1207" w:rsidP="001B1207">
            <w:r>
              <w:t>Usluge promidžbe i informiranja u 2022. iznosili su 46.106,64 eura, a u 2023.g, iznosili su 88.335,57 eura. Navedene usluge su porasle zbog troškova organiziranja manifestacije „Trag u beskraju“ i ostalih koncerata tijekom godine te izložbe „Oliver privatno“.</w:t>
            </w:r>
          </w:p>
        </w:tc>
      </w:tr>
      <w:tr w:rsidR="001B1207" w:rsidRPr="00D23940" w:rsidTr="003A52E9">
        <w:tc>
          <w:tcPr>
            <w:tcW w:w="791" w:type="dxa"/>
            <w:shd w:val="clear" w:color="auto" w:fill="auto"/>
          </w:tcPr>
          <w:p w:rsidR="001B1207" w:rsidRDefault="001B1207" w:rsidP="003A52E9">
            <w:r>
              <w:t>11.</w:t>
            </w:r>
          </w:p>
        </w:tc>
        <w:tc>
          <w:tcPr>
            <w:tcW w:w="1363" w:type="dxa"/>
            <w:shd w:val="clear" w:color="auto" w:fill="auto"/>
          </w:tcPr>
          <w:p w:rsidR="001B1207" w:rsidRDefault="001B1207" w:rsidP="003A52E9">
            <w:r>
              <w:t>4511</w:t>
            </w:r>
          </w:p>
        </w:tc>
        <w:tc>
          <w:tcPr>
            <w:tcW w:w="7310" w:type="dxa"/>
            <w:shd w:val="clear" w:color="auto" w:fill="auto"/>
          </w:tcPr>
          <w:p w:rsidR="001B1207" w:rsidRDefault="001B1207" w:rsidP="001B1207">
            <w:r>
              <w:t>Troškovi na uređenju memorijalne zbirke Olivera Dragojevića u 2022.g. iznosili su 125.559,89 eura, a u 2023.g. (</w:t>
            </w:r>
            <w:proofErr w:type="spellStart"/>
            <w:r>
              <w:t>IV.faza</w:t>
            </w:r>
            <w:proofErr w:type="spellEnd"/>
            <w:r>
              <w:t xml:space="preserve">) troškovi su iznosili 245.380,14 eura. To je </w:t>
            </w:r>
            <w:proofErr w:type="spellStart"/>
            <w:r>
              <w:t>povećnje</w:t>
            </w:r>
            <w:proofErr w:type="spellEnd"/>
            <w:r>
              <w:t xml:space="preserve"> od 95,43 % u 2023.g. u odnosu na 2022.g.</w:t>
            </w:r>
          </w:p>
        </w:tc>
      </w:tr>
    </w:tbl>
    <w:p w:rsidR="00AF7534" w:rsidRPr="000D48D2" w:rsidRDefault="00AF7534" w:rsidP="00AF7534">
      <w:pPr>
        <w:rPr>
          <w:b/>
        </w:rPr>
      </w:pPr>
    </w:p>
    <w:p w:rsidR="00DC7D23" w:rsidRPr="000D48D2" w:rsidRDefault="00DC7D23" w:rsidP="00DC7D23">
      <w:pPr>
        <w:rPr>
          <w:u w:val="single"/>
        </w:rPr>
      </w:pPr>
    </w:p>
    <w:p w:rsidR="00DC7D23" w:rsidRPr="000D48D2" w:rsidRDefault="00DC7D23" w:rsidP="00DC7D23">
      <w:pPr>
        <w:rPr>
          <w:b/>
          <w:u w:val="single"/>
        </w:rPr>
      </w:pPr>
    </w:p>
    <w:p w:rsidR="00AF7534" w:rsidRPr="000D48D2" w:rsidRDefault="00AF7534" w:rsidP="00AF7534">
      <w:pPr>
        <w:pStyle w:val="Odlomakpopisa"/>
        <w:numPr>
          <w:ilvl w:val="0"/>
          <w:numId w:val="3"/>
        </w:numPr>
        <w:rPr>
          <w:b/>
        </w:rPr>
      </w:pPr>
      <w:r w:rsidRPr="000D48D2">
        <w:rPr>
          <w:b/>
        </w:rPr>
        <w:t>Obrazloženje ostvarenog prijenosa sredstava iz prethodne godine i prijenosa sredstava u sljedeću godinu, odnosno za proračunske korisnike obrazloženje prenesenog manjka odnosno viška iz prethodne godine i viška odnosno manjka za prijenos u sljedeću godinu/razdoblje.</w:t>
      </w:r>
    </w:p>
    <w:p w:rsidR="000D48D2" w:rsidRDefault="000D48D2" w:rsidP="000D48D2"/>
    <w:p w:rsidR="005A3B43" w:rsidRDefault="005A3B43" w:rsidP="005A3B43">
      <w:pPr>
        <w:pStyle w:val="Odlomakpopisa"/>
      </w:pPr>
      <w:r w:rsidRPr="005A3B43">
        <w:t xml:space="preserve">Rezultat 2022. godine iznosio je 3.376,63 eura te je prenesen kao višak u 2023.g. </w:t>
      </w:r>
      <w:r>
        <w:t xml:space="preserve">            U 2023.g. CZK</w:t>
      </w:r>
      <w:r w:rsidRPr="005A3B43">
        <w:t xml:space="preserve"> ostvario je manjak prihoda u iznosu od 1.903,73 eura, koji sa prenesenim viškom iz prethodne godine daje rezultat od 1.472,90 eura.</w:t>
      </w:r>
    </w:p>
    <w:p w:rsidR="00E4086D" w:rsidRPr="005A3B43" w:rsidRDefault="00E4086D" w:rsidP="005A3B43">
      <w:pPr>
        <w:pStyle w:val="Odlomakpopisa"/>
      </w:pPr>
    </w:p>
    <w:p w:rsidR="00E4086D" w:rsidRPr="00124ED0" w:rsidRDefault="00E4086D" w:rsidP="00E4086D">
      <w:pPr>
        <w:pStyle w:val="Odlomakpopisa"/>
        <w:numPr>
          <w:ilvl w:val="0"/>
          <w:numId w:val="3"/>
        </w:numPr>
        <w:rPr>
          <w:b/>
          <w:u w:val="single"/>
        </w:rPr>
      </w:pPr>
      <w:r>
        <w:rPr>
          <w:b/>
        </w:rPr>
        <w:t>S</w:t>
      </w:r>
      <w:r w:rsidRPr="00124ED0">
        <w:rPr>
          <w:b/>
        </w:rPr>
        <w:t>tanje novčanih sredstava na početku i na kraju proračunske godine</w:t>
      </w:r>
      <w:r>
        <w:rPr>
          <w:b/>
        </w:rPr>
        <w:t>:</w:t>
      </w:r>
    </w:p>
    <w:p w:rsidR="00E4086D" w:rsidRPr="00124ED0" w:rsidRDefault="00E4086D" w:rsidP="00E4086D">
      <w:pPr>
        <w:pStyle w:val="Odlomakpopisa"/>
        <w:rPr>
          <w:b/>
          <w:u w:val="single"/>
        </w:rPr>
      </w:pPr>
    </w:p>
    <w:p w:rsidR="00E4086D" w:rsidRDefault="00E4086D" w:rsidP="00E4086D">
      <w:pPr>
        <w:suppressAutoHyphens/>
        <w:ind w:left="1290"/>
        <w:rPr>
          <w:b/>
        </w:rPr>
      </w:pPr>
      <w:r w:rsidRPr="00051B19">
        <w:t>Na žiro ra</w:t>
      </w:r>
      <w:r>
        <w:t>čunu IBAN: HR822340091100198264</w:t>
      </w:r>
      <w:r w:rsidRPr="00051B19">
        <w:t>, kod Privredne banke Zagreb, na dan 01.01.2023. prema izvodu br. 1.</w:t>
      </w:r>
      <w:r>
        <w:t xml:space="preserve"> stanje računa bilo je 3.376,63</w:t>
      </w:r>
      <w:r w:rsidRPr="00051B19">
        <w:t xml:space="preserve"> eura, a na dan 31.12.20</w:t>
      </w:r>
      <w:r w:rsidR="0002753B">
        <w:t>23. godine prema izvodu broj 121</w:t>
      </w:r>
      <w:r>
        <w:t>.</w:t>
      </w:r>
      <w:r w:rsidRPr="00051B19">
        <w:t>,</w:t>
      </w:r>
      <w:r w:rsidR="0002753B">
        <w:t>stanje računa</w:t>
      </w:r>
      <w:r w:rsidRPr="00051B19">
        <w:t xml:space="preserve"> bilo je</w:t>
      </w:r>
      <w:r>
        <w:rPr>
          <w:b/>
        </w:rPr>
        <w:t xml:space="preserve"> 5.780,79 </w:t>
      </w:r>
      <w:r w:rsidRPr="00051B19">
        <w:rPr>
          <w:b/>
        </w:rPr>
        <w:t>eura.</w:t>
      </w:r>
    </w:p>
    <w:p w:rsidR="00E4086D" w:rsidRPr="00051B19" w:rsidRDefault="00E4086D" w:rsidP="00E4086D">
      <w:pPr>
        <w:suppressAutoHyphens/>
        <w:ind w:left="1290"/>
      </w:pPr>
    </w:p>
    <w:p w:rsidR="00E4086D" w:rsidRPr="00E4086D" w:rsidRDefault="00E4086D" w:rsidP="00E4086D">
      <w:pPr>
        <w:suppressAutoHyphens/>
        <w:ind w:left="1290"/>
        <w:rPr>
          <w:b/>
          <w:bCs/>
          <w:u w:val="single"/>
        </w:rPr>
      </w:pPr>
      <w:r w:rsidRPr="00051B19">
        <w:t>U blagajni na početku izvještajnog razdoblja nije bilo sredstava, a prema blagaj</w:t>
      </w:r>
      <w:r w:rsidR="0002753B">
        <w:t>ničkom izvještaju broj 55/23</w:t>
      </w:r>
      <w:r w:rsidRPr="00051B19">
        <w:t xml:space="preserve"> od 31.12.2023. god. bilo je</w:t>
      </w:r>
      <w:r>
        <w:rPr>
          <w:b/>
          <w:bCs/>
          <w:u w:val="single"/>
        </w:rPr>
        <w:t xml:space="preserve"> 4,48</w:t>
      </w:r>
      <w:r w:rsidRPr="00051B19">
        <w:rPr>
          <w:b/>
          <w:bCs/>
          <w:u w:val="single"/>
        </w:rPr>
        <w:t xml:space="preserve"> eura.</w:t>
      </w:r>
      <w:r w:rsidRPr="00051B19">
        <w:t xml:space="preserve">      </w:t>
      </w:r>
    </w:p>
    <w:p w:rsidR="00E4086D" w:rsidRPr="00051B19" w:rsidRDefault="00E4086D" w:rsidP="00E4086D">
      <w:pPr>
        <w:ind w:left="360"/>
        <w:rPr>
          <w:sz w:val="28"/>
          <w:szCs w:val="28"/>
        </w:rPr>
      </w:pPr>
    </w:p>
    <w:p w:rsidR="005A3B43" w:rsidRDefault="005A3B43" w:rsidP="005A3B43">
      <w:pPr>
        <w:pStyle w:val="Odlomakpopisa"/>
        <w:rPr>
          <w:b/>
        </w:rPr>
      </w:pPr>
    </w:p>
    <w:p w:rsidR="005A3B43" w:rsidRPr="005A3B43" w:rsidRDefault="005A3B43" w:rsidP="005A3B43">
      <w:pPr>
        <w:numPr>
          <w:ilvl w:val="3"/>
          <w:numId w:val="3"/>
        </w:numPr>
        <w:contextualSpacing/>
      </w:pPr>
      <w:r w:rsidRPr="005A3B43">
        <w:rPr>
          <w:b/>
          <w:bCs/>
        </w:rPr>
        <w:lastRenderedPageBreak/>
        <w:t>Obveze – nepodmirene</w:t>
      </w:r>
    </w:p>
    <w:p w:rsidR="00AF7534" w:rsidRPr="005A3B43" w:rsidRDefault="00AF7534" w:rsidP="005A3B43">
      <w:pPr>
        <w:rPr>
          <w:b/>
          <w:u w:val="single"/>
        </w:rPr>
      </w:pPr>
    </w:p>
    <w:p w:rsidR="00632CDC" w:rsidRPr="005A3B43" w:rsidRDefault="00632CDC" w:rsidP="00632CDC">
      <w:r w:rsidRPr="005A3B43">
        <w:t>Na dan 31.12.2023. Centar za kulturu ima neizmirenih obveza u iznosu od 4.501,25 eura, a koje dospijevaju u siječnju 2024.g.:</w:t>
      </w:r>
    </w:p>
    <w:p w:rsidR="00632CDC" w:rsidRPr="005A3B43" w:rsidRDefault="00632CDC" w:rsidP="00632CD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5"/>
        <w:gridCol w:w="2620"/>
        <w:gridCol w:w="1353"/>
      </w:tblGrid>
      <w:tr w:rsidR="00632CDC" w:rsidRPr="005A3B43" w:rsidTr="00E4086D">
        <w:tc>
          <w:tcPr>
            <w:tcW w:w="3725" w:type="dxa"/>
            <w:shd w:val="clear" w:color="auto" w:fill="auto"/>
          </w:tcPr>
          <w:p w:rsidR="00632CDC" w:rsidRPr="005A3B43" w:rsidRDefault="00632CDC" w:rsidP="003A52E9">
            <w:pPr>
              <w:rPr>
                <w:sz w:val="22"/>
                <w:szCs w:val="22"/>
              </w:rPr>
            </w:pPr>
            <w:r w:rsidRPr="005A3B43">
              <w:rPr>
                <w:sz w:val="22"/>
                <w:szCs w:val="22"/>
              </w:rPr>
              <w:t>DOBAVLJAČ</w:t>
            </w:r>
          </w:p>
          <w:p w:rsidR="00632CDC" w:rsidRPr="005A3B43" w:rsidRDefault="00632CDC" w:rsidP="003A52E9">
            <w:pPr>
              <w:rPr>
                <w:sz w:val="22"/>
                <w:szCs w:val="22"/>
              </w:rPr>
            </w:pPr>
          </w:p>
        </w:tc>
        <w:tc>
          <w:tcPr>
            <w:tcW w:w="2620" w:type="dxa"/>
            <w:shd w:val="clear" w:color="auto" w:fill="auto"/>
          </w:tcPr>
          <w:p w:rsidR="00632CDC" w:rsidRPr="005A3B43" w:rsidRDefault="00632CDC" w:rsidP="003A52E9">
            <w:pPr>
              <w:rPr>
                <w:sz w:val="22"/>
                <w:szCs w:val="22"/>
              </w:rPr>
            </w:pPr>
            <w:r w:rsidRPr="005A3B43">
              <w:rPr>
                <w:sz w:val="22"/>
                <w:szCs w:val="22"/>
              </w:rPr>
              <w:t>IZNOS RAČUNA</w:t>
            </w:r>
          </w:p>
        </w:tc>
        <w:tc>
          <w:tcPr>
            <w:tcW w:w="1353" w:type="dxa"/>
            <w:shd w:val="clear" w:color="auto" w:fill="auto"/>
          </w:tcPr>
          <w:p w:rsidR="00632CDC" w:rsidRPr="005A3B43" w:rsidRDefault="00632CDC" w:rsidP="003A52E9">
            <w:pPr>
              <w:rPr>
                <w:sz w:val="22"/>
                <w:szCs w:val="22"/>
              </w:rPr>
            </w:pPr>
            <w:r w:rsidRPr="005A3B43">
              <w:rPr>
                <w:sz w:val="22"/>
                <w:szCs w:val="22"/>
              </w:rPr>
              <w:t>DOSPIJEĆE</w:t>
            </w:r>
          </w:p>
        </w:tc>
      </w:tr>
      <w:tr w:rsidR="00632CDC" w:rsidRPr="005A3B43" w:rsidTr="00E4086D">
        <w:tc>
          <w:tcPr>
            <w:tcW w:w="3725" w:type="dxa"/>
            <w:shd w:val="clear" w:color="auto" w:fill="auto"/>
          </w:tcPr>
          <w:p w:rsidR="00632CDC" w:rsidRPr="005A3B43" w:rsidRDefault="00632CDC" w:rsidP="003A52E9">
            <w:pPr>
              <w:rPr>
                <w:sz w:val="22"/>
                <w:szCs w:val="22"/>
              </w:rPr>
            </w:pPr>
            <w:r w:rsidRPr="005A3B43">
              <w:rPr>
                <w:sz w:val="22"/>
                <w:szCs w:val="22"/>
              </w:rPr>
              <w:t xml:space="preserve">Obrt </w:t>
            </w:r>
            <w:proofErr w:type="spellStart"/>
            <w:r w:rsidRPr="005A3B43">
              <w:rPr>
                <w:sz w:val="22"/>
                <w:szCs w:val="22"/>
              </w:rPr>
              <w:t>Prižmić</w:t>
            </w:r>
            <w:proofErr w:type="spellEnd"/>
            <w:r w:rsidRPr="005A3B43">
              <w:rPr>
                <w:sz w:val="22"/>
                <w:szCs w:val="22"/>
              </w:rPr>
              <w:t xml:space="preserve">, </w:t>
            </w:r>
            <w:proofErr w:type="spellStart"/>
            <w:r w:rsidRPr="005A3B43">
              <w:rPr>
                <w:sz w:val="22"/>
                <w:szCs w:val="22"/>
              </w:rPr>
              <w:t>vl.I</w:t>
            </w:r>
            <w:proofErr w:type="spellEnd"/>
            <w:r w:rsidRPr="005A3B43">
              <w:rPr>
                <w:sz w:val="22"/>
                <w:szCs w:val="22"/>
              </w:rPr>
              <w:t xml:space="preserve">. </w:t>
            </w:r>
            <w:proofErr w:type="spellStart"/>
            <w:r w:rsidRPr="005A3B43">
              <w:rPr>
                <w:sz w:val="22"/>
                <w:szCs w:val="22"/>
              </w:rPr>
              <w:t>Prižmić</w:t>
            </w:r>
            <w:proofErr w:type="spellEnd"/>
          </w:p>
        </w:tc>
        <w:tc>
          <w:tcPr>
            <w:tcW w:w="2620" w:type="dxa"/>
            <w:shd w:val="clear" w:color="auto" w:fill="auto"/>
          </w:tcPr>
          <w:p w:rsidR="00632CDC" w:rsidRPr="005A3B43" w:rsidRDefault="00632CDC" w:rsidP="003A52E9">
            <w:pPr>
              <w:rPr>
                <w:sz w:val="22"/>
                <w:szCs w:val="22"/>
              </w:rPr>
            </w:pPr>
            <w:r w:rsidRPr="005A3B43">
              <w:rPr>
                <w:sz w:val="22"/>
                <w:szCs w:val="22"/>
              </w:rPr>
              <w:t>89,65 EURA</w:t>
            </w:r>
          </w:p>
        </w:tc>
        <w:tc>
          <w:tcPr>
            <w:tcW w:w="1353" w:type="dxa"/>
            <w:shd w:val="clear" w:color="auto" w:fill="auto"/>
          </w:tcPr>
          <w:p w:rsidR="00632CDC" w:rsidRPr="005A3B43" w:rsidRDefault="00632CDC" w:rsidP="003A52E9">
            <w:pPr>
              <w:rPr>
                <w:sz w:val="22"/>
                <w:szCs w:val="22"/>
              </w:rPr>
            </w:pPr>
            <w:r w:rsidRPr="005A3B43">
              <w:rPr>
                <w:sz w:val="22"/>
                <w:szCs w:val="22"/>
              </w:rPr>
              <w:t>16.01.2024</w:t>
            </w:r>
          </w:p>
        </w:tc>
      </w:tr>
      <w:tr w:rsidR="00632CDC" w:rsidRPr="005A3B43" w:rsidTr="00E4086D">
        <w:tc>
          <w:tcPr>
            <w:tcW w:w="3725" w:type="dxa"/>
            <w:shd w:val="clear" w:color="auto" w:fill="auto"/>
          </w:tcPr>
          <w:p w:rsidR="00632CDC" w:rsidRPr="005A3B43" w:rsidRDefault="00632CDC" w:rsidP="003A52E9">
            <w:pPr>
              <w:rPr>
                <w:sz w:val="22"/>
                <w:szCs w:val="22"/>
              </w:rPr>
            </w:pPr>
            <w:r w:rsidRPr="005A3B43">
              <w:rPr>
                <w:sz w:val="22"/>
                <w:szCs w:val="22"/>
              </w:rPr>
              <w:t>TBF- isplata drugog dohotka</w:t>
            </w:r>
          </w:p>
        </w:tc>
        <w:tc>
          <w:tcPr>
            <w:tcW w:w="2620" w:type="dxa"/>
            <w:shd w:val="clear" w:color="auto" w:fill="auto"/>
          </w:tcPr>
          <w:p w:rsidR="00632CDC" w:rsidRPr="005A3B43" w:rsidRDefault="00632CDC" w:rsidP="003A52E9">
            <w:pPr>
              <w:rPr>
                <w:sz w:val="22"/>
                <w:szCs w:val="22"/>
              </w:rPr>
            </w:pPr>
            <w:r w:rsidRPr="005A3B43">
              <w:rPr>
                <w:sz w:val="22"/>
                <w:szCs w:val="22"/>
              </w:rPr>
              <w:t>4.411,60 EURA</w:t>
            </w:r>
          </w:p>
        </w:tc>
        <w:tc>
          <w:tcPr>
            <w:tcW w:w="1353" w:type="dxa"/>
            <w:shd w:val="clear" w:color="auto" w:fill="auto"/>
          </w:tcPr>
          <w:p w:rsidR="00632CDC" w:rsidRPr="005A3B43" w:rsidRDefault="00632CDC" w:rsidP="003A52E9">
            <w:pPr>
              <w:rPr>
                <w:sz w:val="22"/>
                <w:szCs w:val="22"/>
              </w:rPr>
            </w:pPr>
            <w:r w:rsidRPr="005A3B43">
              <w:rPr>
                <w:sz w:val="22"/>
                <w:szCs w:val="22"/>
              </w:rPr>
              <w:t>02.01.2024</w:t>
            </w:r>
          </w:p>
        </w:tc>
      </w:tr>
    </w:tbl>
    <w:p w:rsidR="00E4086D" w:rsidRPr="00E4086D" w:rsidRDefault="00E4086D" w:rsidP="00E4086D">
      <w:pPr>
        <w:ind w:left="2880"/>
        <w:contextualSpacing/>
      </w:pPr>
    </w:p>
    <w:p w:rsidR="005A3B43" w:rsidRPr="005A3B43" w:rsidRDefault="005A3B43" w:rsidP="005A3B43">
      <w:pPr>
        <w:numPr>
          <w:ilvl w:val="3"/>
          <w:numId w:val="3"/>
        </w:numPr>
        <w:contextualSpacing/>
      </w:pPr>
      <w:r w:rsidRPr="005A3B43">
        <w:rPr>
          <w:b/>
          <w:bCs/>
        </w:rPr>
        <w:t>Nenaplaćena potraživanja</w:t>
      </w:r>
    </w:p>
    <w:p w:rsidR="005A3B43" w:rsidRPr="005A3B43" w:rsidRDefault="0002753B" w:rsidP="005A3B43">
      <w:pPr>
        <w:ind w:left="360"/>
        <w:rPr>
          <w:b/>
          <w:u w:val="single"/>
        </w:rPr>
      </w:pPr>
      <w:r>
        <w:t>Potraživanja na dan 31.12</w:t>
      </w:r>
      <w:r w:rsidR="005A3B43" w:rsidRPr="005A3B43">
        <w:t xml:space="preserve"> 2023. god.:</w:t>
      </w:r>
    </w:p>
    <w:p w:rsidR="005A3B43" w:rsidRPr="005A3B43" w:rsidRDefault="00E4086D" w:rsidP="005A3B43">
      <w:pPr>
        <w:ind w:left="360"/>
      </w:pPr>
      <w:r>
        <w:rPr>
          <w:b/>
        </w:rPr>
        <w:t>6,64</w:t>
      </w:r>
      <w:r w:rsidR="005A3B43" w:rsidRPr="005A3B43">
        <w:rPr>
          <w:b/>
        </w:rPr>
        <w:t xml:space="preserve"> eura </w:t>
      </w:r>
      <w:r w:rsidR="005A3B43" w:rsidRPr="005A3B43">
        <w:t xml:space="preserve">odnosi se na </w:t>
      </w:r>
      <w:r>
        <w:t>račun iz 2021.g. za prodanu knjigu.</w:t>
      </w:r>
    </w:p>
    <w:p w:rsidR="00E4086D" w:rsidRPr="005A3B43" w:rsidRDefault="00E4086D" w:rsidP="005A3B43">
      <w:pPr>
        <w:ind w:left="360"/>
      </w:pPr>
      <w:r w:rsidRPr="00E4086D">
        <w:rPr>
          <w:b/>
        </w:rPr>
        <w:t>186,86 eura</w:t>
      </w:r>
      <w:r w:rsidRPr="00E4086D">
        <w:t xml:space="preserve"> odnose se na potraživanja za više plaćeni porez i prirez na dohodak</w:t>
      </w:r>
      <w:r>
        <w:t>.</w:t>
      </w:r>
    </w:p>
    <w:p w:rsidR="005A3B43" w:rsidRPr="005A3B43" w:rsidRDefault="005A3B43" w:rsidP="00E4086D">
      <w:pPr>
        <w:jc w:val="center"/>
        <w:rPr>
          <w:b/>
          <w:u w:val="single"/>
        </w:rPr>
      </w:pPr>
    </w:p>
    <w:p w:rsidR="00632CDC" w:rsidRPr="005A3B43" w:rsidRDefault="00632CDC" w:rsidP="00632CDC">
      <w:pPr>
        <w:rPr>
          <w:sz w:val="22"/>
          <w:szCs w:val="22"/>
        </w:rPr>
      </w:pPr>
    </w:p>
    <w:p w:rsidR="00632CDC" w:rsidRPr="005A3B43" w:rsidRDefault="00632CDC" w:rsidP="00632CDC">
      <w:pPr>
        <w:rPr>
          <w:b/>
          <w:i/>
          <w:sz w:val="22"/>
          <w:szCs w:val="22"/>
          <w:u w:val="single"/>
        </w:rPr>
      </w:pPr>
    </w:p>
    <w:p w:rsidR="00AF7534" w:rsidRPr="005A3B43" w:rsidRDefault="00AF7534" w:rsidP="00AF7534">
      <w:pPr>
        <w:rPr>
          <w:sz w:val="22"/>
          <w:szCs w:val="22"/>
        </w:rPr>
      </w:pPr>
    </w:p>
    <w:p w:rsidR="00AF7534" w:rsidRPr="005A3B43" w:rsidRDefault="00AF7534" w:rsidP="00AF7534">
      <w:pPr>
        <w:rPr>
          <w:sz w:val="22"/>
          <w:szCs w:val="22"/>
        </w:rPr>
      </w:pPr>
    </w:p>
    <w:p w:rsidR="000F25B4" w:rsidRDefault="0002753B" w:rsidP="0002753B">
      <w:pPr>
        <w:jc w:val="right"/>
        <w:rPr>
          <w:sz w:val="22"/>
          <w:szCs w:val="22"/>
        </w:rPr>
      </w:pPr>
      <w:r>
        <w:rPr>
          <w:sz w:val="22"/>
          <w:szCs w:val="22"/>
        </w:rPr>
        <w:t>Odgovorna osoba:</w:t>
      </w:r>
    </w:p>
    <w:p w:rsidR="0002753B" w:rsidRPr="005A3B43" w:rsidRDefault="0002753B" w:rsidP="0002753B">
      <w:pPr>
        <w:jc w:val="right"/>
        <w:rPr>
          <w:sz w:val="22"/>
          <w:szCs w:val="22"/>
        </w:rPr>
      </w:pPr>
      <w:r>
        <w:rPr>
          <w:sz w:val="22"/>
          <w:szCs w:val="22"/>
        </w:rPr>
        <w:t>Dinko Radić</w:t>
      </w:r>
      <w:bookmarkStart w:id="0" w:name="_GoBack"/>
      <w:bookmarkEnd w:id="0"/>
    </w:p>
    <w:sectPr w:rsidR="0002753B" w:rsidRPr="005A3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06545"/>
    <w:multiLevelType w:val="hybridMultilevel"/>
    <w:tmpl w:val="428081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F1A17"/>
    <w:multiLevelType w:val="hybridMultilevel"/>
    <w:tmpl w:val="2F100868"/>
    <w:lvl w:ilvl="0" w:tplc="08DE869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BB15CD"/>
    <w:multiLevelType w:val="hybridMultilevel"/>
    <w:tmpl w:val="C8E6D3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0A3F5C"/>
    <w:multiLevelType w:val="hybridMultilevel"/>
    <w:tmpl w:val="632E65BE"/>
    <w:lvl w:ilvl="0" w:tplc="1F3EF6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534"/>
    <w:rsid w:val="0002753B"/>
    <w:rsid w:val="00035058"/>
    <w:rsid w:val="000D48D2"/>
    <w:rsid w:val="000F25B4"/>
    <w:rsid w:val="001B1207"/>
    <w:rsid w:val="004F1D60"/>
    <w:rsid w:val="005032ED"/>
    <w:rsid w:val="005A3B43"/>
    <w:rsid w:val="00632CDC"/>
    <w:rsid w:val="00AF7534"/>
    <w:rsid w:val="00DC7D23"/>
    <w:rsid w:val="00E4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0A0D4"/>
  <w15:chartTrackingRefBased/>
  <w15:docId w15:val="{B7CB91AE-E7C1-44A8-829C-7FBE3E41C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753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F1D6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1D6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0C365-0482-4F59-87E6-F0D83C31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Marinka</dc:creator>
  <cp:keywords/>
  <dc:description/>
  <cp:lastModifiedBy>Marinka</cp:lastModifiedBy>
  <cp:revision>5</cp:revision>
  <cp:lastPrinted>2024-03-26T06:52:00Z</cp:lastPrinted>
  <dcterms:created xsi:type="dcterms:W3CDTF">2023-09-28T07:24:00Z</dcterms:created>
  <dcterms:modified xsi:type="dcterms:W3CDTF">2024-03-26T06:53:00Z</dcterms:modified>
</cp:coreProperties>
</file>